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0EBD" w14:textId="77777777" w:rsidR="00D94385" w:rsidRPr="002E4B7C" w:rsidRDefault="00D94385" w:rsidP="00D94385">
      <w:pPr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2E4B7C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14:paraId="398254B5" w14:textId="77777777" w:rsidR="00D94385" w:rsidRPr="002E4B7C" w:rsidRDefault="00D94385" w:rsidP="00D94385">
      <w:pPr>
        <w:autoSpaceDE w:val="0"/>
        <w:autoSpaceDN w:val="0"/>
        <w:adjustRightInd w:val="0"/>
        <w:spacing w:after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>Наказ Державного бюро розслідувань</w:t>
      </w:r>
    </w:p>
    <w:p w14:paraId="57F87ABF" w14:textId="77777777" w:rsidR="00D94385" w:rsidRPr="002E4B7C" w:rsidRDefault="00D94385" w:rsidP="00D94385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</w:rPr>
        <w:t xml:space="preserve">09.11.2020 № 659 </w:t>
      </w:r>
    </w:p>
    <w:bookmarkEnd w:id="0"/>
    <w:p w14:paraId="7289C6CD" w14:textId="77777777" w:rsidR="00D94385" w:rsidRPr="002E4B7C" w:rsidRDefault="00D94385" w:rsidP="00D94385">
      <w:pPr>
        <w:rPr>
          <w:rFonts w:ascii="Times New Roman" w:hAnsi="Times New Roman" w:cs="Times New Roman"/>
          <w:sz w:val="16"/>
          <w:szCs w:val="16"/>
        </w:rPr>
      </w:pPr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571A87F0" w:rsidR="00283CBE" w:rsidRPr="00283CBE" w:rsidRDefault="00D94385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283CBE" w:rsidRPr="00283CBE">
        <w:rPr>
          <w:rFonts w:ascii="Times New Roman" w:eastAsia="Calibri" w:hAnsi="Times New Roman" w:cs="Times New Roman"/>
          <w:b/>
          <w:sz w:val="28"/>
          <w:szCs w:val="28"/>
        </w:rPr>
        <w:t>ідділу матеріально-технічного забезпечення</w:t>
      </w:r>
    </w:p>
    <w:p w14:paraId="2B241AC1" w14:textId="67CCF57F" w:rsidR="00283CBE" w:rsidRPr="002E564A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_Hlk54167082"/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proofErr w:type="spellStart"/>
      <w:r w:rsidR="002E564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Києві</w:t>
      </w:r>
      <w:proofErr w:type="spellEnd"/>
    </w:p>
    <w:bookmarkEnd w:id="1"/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23CB0DE9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3629">
              <w:rPr>
                <w:rFonts w:ascii="Times New Roman" w:hAnsi="Times New Roman"/>
                <w:color w:val="000000" w:themeColor="text1"/>
              </w:rPr>
              <w:t>п’яти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D94385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Кодекс законів про працю України;</w:t>
            </w:r>
          </w:p>
          <w:p w14:paraId="0B65306C" w14:textId="77777777" w:rsidR="008F1109" w:rsidRPr="00440CE4" w:rsidRDefault="00D94385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D94385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440CE4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AE3629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1E7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B4"/>
    <w:rsid w:val="0004393E"/>
    <w:rsid w:val="00055CA3"/>
    <w:rsid w:val="00102508"/>
    <w:rsid w:val="001E7B0E"/>
    <w:rsid w:val="00256F25"/>
    <w:rsid w:val="00261322"/>
    <w:rsid w:val="00283CBE"/>
    <w:rsid w:val="002E564A"/>
    <w:rsid w:val="003341F0"/>
    <w:rsid w:val="00435EEB"/>
    <w:rsid w:val="0044114E"/>
    <w:rsid w:val="004629B4"/>
    <w:rsid w:val="004E2DA6"/>
    <w:rsid w:val="0050262D"/>
    <w:rsid w:val="00567F73"/>
    <w:rsid w:val="005A32D1"/>
    <w:rsid w:val="005B623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D29F2"/>
    <w:rsid w:val="008F1109"/>
    <w:rsid w:val="009A4154"/>
    <w:rsid w:val="00AE2E98"/>
    <w:rsid w:val="00AE3629"/>
    <w:rsid w:val="00AF7B73"/>
    <w:rsid w:val="00B87EBB"/>
    <w:rsid w:val="00C6433C"/>
    <w:rsid w:val="00C76C46"/>
    <w:rsid w:val="00CB6000"/>
    <w:rsid w:val="00CC14CF"/>
    <w:rsid w:val="00CF1250"/>
    <w:rsid w:val="00D20FA8"/>
    <w:rsid w:val="00D706B9"/>
    <w:rsid w:val="00D94385"/>
    <w:rsid w:val="00E43306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E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7</cp:revision>
  <cp:lastPrinted>2020-10-27T15:03:00Z</cp:lastPrinted>
  <dcterms:created xsi:type="dcterms:W3CDTF">2020-10-26T15:01:00Z</dcterms:created>
  <dcterms:modified xsi:type="dcterms:W3CDTF">2020-11-10T06:39:00Z</dcterms:modified>
</cp:coreProperties>
</file>