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99A" w:rsidRPr="0012199A" w:rsidRDefault="0012199A" w:rsidP="0012199A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12199A" w:rsidRPr="0012199A" w:rsidRDefault="0012199A" w:rsidP="0012199A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12199A" w:rsidRPr="002E4B7C" w:rsidRDefault="0012199A" w:rsidP="0012199A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09.11.2020 № 66</w:t>
      </w: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2E4B7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9B031F" w:rsidRPr="0036764B" w:rsidRDefault="009B031F" w:rsidP="0036764B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D5116" w:rsidRPr="00FD5116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FD5116" w:rsidRPr="00FD5116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9A435C" w:rsidRPr="00B14428" w:rsidRDefault="00FD5116" w:rsidP="00B14428">
      <w:pPr>
        <w:jc w:val="center"/>
        <w:rPr>
          <w:rFonts w:ascii="Times New Roman" w:hAnsi="Times New Roman"/>
          <w:color w:val="000000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</w:t>
      </w:r>
      <w:r w:rsidR="009A4A76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bookmarkStart w:id="0" w:name="_GoBack"/>
      <w:bookmarkEnd w:id="0"/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A14A13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B14428">
        <w:rPr>
          <w:rFonts w:ascii="Times New Roman" w:hAnsi="Times New Roman"/>
          <w:b/>
          <w:color w:val="000000"/>
          <w:sz w:val="28"/>
          <w:szCs w:val="28"/>
          <w:lang w:val="uk-UA"/>
        </w:rPr>
        <w:t>істі Львові</w:t>
      </w:r>
    </w:p>
    <w:p w:rsidR="009B031F" w:rsidRPr="0036764B" w:rsidRDefault="009B031F" w:rsidP="0036764B">
      <w:pPr>
        <w:rPr>
          <w:rFonts w:ascii="Times New Roman" w:hAnsi="Times New Roman"/>
          <w:color w:val="000000"/>
          <w:lang w:val="uk-UA"/>
        </w:rPr>
      </w:pPr>
    </w:p>
    <w:tbl>
      <w:tblPr>
        <w:tblW w:w="540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3"/>
        <w:gridCol w:w="6295"/>
      </w:tblGrid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36764B" w:rsidTr="00C00B33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C0504A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36764B" w:rsidTr="00C00B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6B21E1" w:rsidP="00EC63D1">
            <w:pPr>
              <w:rPr>
                <w:rFonts w:ascii="Times New Roman" w:hAnsi="Times New Roman"/>
                <w:color w:val="FF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36764B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36764B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36764B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165C3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165C30" w:rsidP="00EC63D1">
            <w:pPr>
              <w:rPr>
                <w:rFonts w:ascii="Times New Roman" w:hAnsi="Times New Roman"/>
                <w:i/>
                <w:color w:val="000000"/>
                <w:highlight w:val="yellow"/>
                <w:lang w:val="uk-UA"/>
              </w:rPr>
            </w:pP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B14360"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на посадах у сфері управління персоналом не менше </w:t>
            </w:r>
            <w:r w:rsidR="00B14360"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 років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0E70F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FD5116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>
              <w:rPr>
                <w:rFonts w:ascii="Times New Roman" w:hAnsi="Times New Roman"/>
                <w:color w:val="000000"/>
                <w:lang w:val="uk-UA"/>
              </w:rPr>
              <w:t>я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71A0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0E70F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810F92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:rsidR="00C00B33" w:rsidRPr="0036764B" w:rsidRDefault="00810F92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36764B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відпустки»;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:rsidR="00C00B33" w:rsidRPr="0036764B" w:rsidRDefault="00C00B33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u w:val="single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очищення влади»;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0E70F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2C36" w:rsidRPr="00BE4560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BE4560">
              <w:rPr>
                <w:rFonts w:ascii="Times New Roman" w:hAnsi="Times New Roman"/>
                <w:color w:val="000000"/>
                <w:lang w:val="ru-RU"/>
              </w:rPr>
              <w:t>Положення про проходження служби особами рядового та начальницького складу Державного бюро розслідувань»</w:t>
            </w:r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612C36" w:rsidRPr="00BE4560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Наказ Державного бюро розслідувань «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Про затвердження Порядку формування та ведення особових справ</w:t>
            </w:r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осіб</w:t>
            </w:r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рядового та начальницького складу Державного бюро розслідувань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»;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lastRenderedPageBreak/>
              <w:t>знання у сфері обчислення стажу, встановлення надбавок та доплат;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формувати і вести особові справи, трудові книжки, складати накази з кадрових питань;</w:t>
            </w:r>
          </w:p>
          <w:p w:rsidR="00C00B33" w:rsidRPr="00F65EC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механізму присвоєння рангів, спеціальних звань;</w:t>
            </w:r>
          </w:p>
          <w:p w:rsidR="00F65ECB" w:rsidRPr="0036764B" w:rsidRDefault="00F65ECB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досвід організаційно-штатної роботи;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>
              <w:rPr>
                <w:rFonts w:ascii="Times New Roman" w:hAnsi="Times New Roman"/>
                <w:lang w:val="uk-UA"/>
              </w:rPr>
              <w:t>з</w:t>
            </w:r>
            <w:r w:rsidRPr="0036764B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0E70F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0E70F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0E70F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9B031F" w:rsidRPr="0036764B" w:rsidRDefault="009B031F" w:rsidP="0036764B">
      <w:pPr>
        <w:rPr>
          <w:rFonts w:ascii="Times New Roman" w:eastAsia="Times New Roman" w:hAnsi="Times New Roman"/>
          <w:color w:val="000000"/>
          <w:lang w:val="uk-UA"/>
        </w:rPr>
      </w:pPr>
    </w:p>
    <w:sectPr w:rsidR="009B031F" w:rsidRPr="0036764B" w:rsidSect="00EC63D1">
      <w:pgSz w:w="11900" w:h="16840"/>
      <w:pgMar w:top="1135" w:right="1440" w:bottom="92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F92" w:rsidRDefault="00810F92" w:rsidP="009B031F">
      <w:r>
        <w:separator/>
      </w:r>
    </w:p>
  </w:endnote>
  <w:endnote w:type="continuationSeparator" w:id="0">
    <w:p w:rsidR="00810F92" w:rsidRDefault="00810F9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F92" w:rsidRDefault="00810F92" w:rsidP="009B031F">
      <w:r>
        <w:separator/>
      </w:r>
    </w:p>
  </w:footnote>
  <w:footnote w:type="continuationSeparator" w:id="0">
    <w:p w:rsidR="00810F92" w:rsidRDefault="00810F92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3458"/>
    <w:rsid w:val="00050928"/>
    <w:rsid w:val="0006354F"/>
    <w:rsid w:val="00064FA6"/>
    <w:rsid w:val="000732AF"/>
    <w:rsid w:val="00083D5E"/>
    <w:rsid w:val="000859A7"/>
    <w:rsid w:val="000B1964"/>
    <w:rsid w:val="000E70F0"/>
    <w:rsid w:val="000F5064"/>
    <w:rsid w:val="00104C76"/>
    <w:rsid w:val="00114DA5"/>
    <w:rsid w:val="00117220"/>
    <w:rsid w:val="0012199A"/>
    <w:rsid w:val="00131616"/>
    <w:rsid w:val="00135A3B"/>
    <w:rsid w:val="00143099"/>
    <w:rsid w:val="00143A85"/>
    <w:rsid w:val="0016424F"/>
    <w:rsid w:val="00165C30"/>
    <w:rsid w:val="001731A7"/>
    <w:rsid w:val="001807FA"/>
    <w:rsid w:val="001917B1"/>
    <w:rsid w:val="0019388E"/>
    <w:rsid w:val="001A0E5C"/>
    <w:rsid w:val="001D63A8"/>
    <w:rsid w:val="001E738E"/>
    <w:rsid w:val="001F21DE"/>
    <w:rsid w:val="00211638"/>
    <w:rsid w:val="00212ED1"/>
    <w:rsid w:val="00255D72"/>
    <w:rsid w:val="002571A0"/>
    <w:rsid w:val="002734BC"/>
    <w:rsid w:val="00274558"/>
    <w:rsid w:val="002A56F7"/>
    <w:rsid w:val="002B5DD4"/>
    <w:rsid w:val="002D6D0E"/>
    <w:rsid w:val="00307E1D"/>
    <w:rsid w:val="0033236E"/>
    <w:rsid w:val="00337CEB"/>
    <w:rsid w:val="0036764B"/>
    <w:rsid w:val="00370175"/>
    <w:rsid w:val="003844F5"/>
    <w:rsid w:val="00385770"/>
    <w:rsid w:val="00433FA7"/>
    <w:rsid w:val="004607E6"/>
    <w:rsid w:val="00475CB0"/>
    <w:rsid w:val="004819C3"/>
    <w:rsid w:val="00484EF4"/>
    <w:rsid w:val="004E6F07"/>
    <w:rsid w:val="004F048D"/>
    <w:rsid w:val="00502660"/>
    <w:rsid w:val="00511888"/>
    <w:rsid w:val="00516B61"/>
    <w:rsid w:val="00520A93"/>
    <w:rsid w:val="00540BDE"/>
    <w:rsid w:val="00580D28"/>
    <w:rsid w:val="00597636"/>
    <w:rsid w:val="005C6051"/>
    <w:rsid w:val="005F21AC"/>
    <w:rsid w:val="0061117B"/>
    <w:rsid w:val="00612C36"/>
    <w:rsid w:val="00667F5B"/>
    <w:rsid w:val="00682ED1"/>
    <w:rsid w:val="006B21E1"/>
    <w:rsid w:val="006B38B0"/>
    <w:rsid w:val="006D4D70"/>
    <w:rsid w:val="006E0F29"/>
    <w:rsid w:val="006E473E"/>
    <w:rsid w:val="006E7B5E"/>
    <w:rsid w:val="006F7AD1"/>
    <w:rsid w:val="00701961"/>
    <w:rsid w:val="00714887"/>
    <w:rsid w:val="00723C81"/>
    <w:rsid w:val="0073642F"/>
    <w:rsid w:val="00764634"/>
    <w:rsid w:val="007779B5"/>
    <w:rsid w:val="00792D84"/>
    <w:rsid w:val="007C456D"/>
    <w:rsid w:val="007C5F3C"/>
    <w:rsid w:val="007C6933"/>
    <w:rsid w:val="007E532B"/>
    <w:rsid w:val="007F6BE6"/>
    <w:rsid w:val="00810F92"/>
    <w:rsid w:val="0085285D"/>
    <w:rsid w:val="00852A49"/>
    <w:rsid w:val="00883173"/>
    <w:rsid w:val="00886965"/>
    <w:rsid w:val="0089146D"/>
    <w:rsid w:val="008A7AC4"/>
    <w:rsid w:val="008C6D9A"/>
    <w:rsid w:val="008F0E8C"/>
    <w:rsid w:val="009164B0"/>
    <w:rsid w:val="0093687B"/>
    <w:rsid w:val="00942D2A"/>
    <w:rsid w:val="00957EDE"/>
    <w:rsid w:val="00963FF0"/>
    <w:rsid w:val="009665F2"/>
    <w:rsid w:val="00994A09"/>
    <w:rsid w:val="009A435C"/>
    <w:rsid w:val="009A4A76"/>
    <w:rsid w:val="009B031F"/>
    <w:rsid w:val="009C519E"/>
    <w:rsid w:val="009F3C46"/>
    <w:rsid w:val="009F6305"/>
    <w:rsid w:val="00A07F0F"/>
    <w:rsid w:val="00A14A13"/>
    <w:rsid w:val="00A36169"/>
    <w:rsid w:val="00A3728B"/>
    <w:rsid w:val="00A51FAB"/>
    <w:rsid w:val="00A76E7B"/>
    <w:rsid w:val="00A82A26"/>
    <w:rsid w:val="00AB3D04"/>
    <w:rsid w:val="00AB62FE"/>
    <w:rsid w:val="00AC46E3"/>
    <w:rsid w:val="00AD7FBC"/>
    <w:rsid w:val="00AE6A1A"/>
    <w:rsid w:val="00B14360"/>
    <w:rsid w:val="00B14428"/>
    <w:rsid w:val="00B27803"/>
    <w:rsid w:val="00B360CE"/>
    <w:rsid w:val="00B46D65"/>
    <w:rsid w:val="00B639B7"/>
    <w:rsid w:val="00B808CF"/>
    <w:rsid w:val="00BA164B"/>
    <w:rsid w:val="00BD1D4A"/>
    <w:rsid w:val="00BD2AE9"/>
    <w:rsid w:val="00C00B33"/>
    <w:rsid w:val="00C0504A"/>
    <w:rsid w:val="00C4220F"/>
    <w:rsid w:val="00C96CB2"/>
    <w:rsid w:val="00CA17C9"/>
    <w:rsid w:val="00CB3E6A"/>
    <w:rsid w:val="00CB7CDA"/>
    <w:rsid w:val="00CC5AFB"/>
    <w:rsid w:val="00CD513B"/>
    <w:rsid w:val="00CF330F"/>
    <w:rsid w:val="00D00165"/>
    <w:rsid w:val="00D2779D"/>
    <w:rsid w:val="00D53D3A"/>
    <w:rsid w:val="00D67690"/>
    <w:rsid w:val="00D85F1E"/>
    <w:rsid w:val="00D95B29"/>
    <w:rsid w:val="00DA1021"/>
    <w:rsid w:val="00DA1957"/>
    <w:rsid w:val="00DB6370"/>
    <w:rsid w:val="00DF4C63"/>
    <w:rsid w:val="00E009E9"/>
    <w:rsid w:val="00E15514"/>
    <w:rsid w:val="00E461CD"/>
    <w:rsid w:val="00E62560"/>
    <w:rsid w:val="00E71924"/>
    <w:rsid w:val="00EC63D1"/>
    <w:rsid w:val="00ED7447"/>
    <w:rsid w:val="00F01287"/>
    <w:rsid w:val="00F057AD"/>
    <w:rsid w:val="00F24557"/>
    <w:rsid w:val="00F25A64"/>
    <w:rsid w:val="00F41A4F"/>
    <w:rsid w:val="00F64E6E"/>
    <w:rsid w:val="00F65ECB"/>
    <w:rsid w:val="00FD5116"/>
    <w:rsid w:val="00FE6A35"/>
    <w:rsid w:val="00FE6C6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30ED"/>
  <w15:docId w15:val="{F971C9F1-47EB-4D83-A75C-A74FE44E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3331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Kateryna Tkachenko</dc:creator>
  <cp:lastModifiedBy>Kydenko Olena</cp:lastModifiedBy>
  <cp:revision>11</cp:revision>
  <cp:lastPrinted>2020-11-05T16:37:00Z</cp:lastPrinted>
  <dcterms:created xsi:type="dcterms:W3CDTF">2020-11-05T12:36:00Z</dcterms:created>
  <dcterms:modified xsi:type="dcterms:W3CDTF">2020-11-10T06:46:00Z</dcterms:modified>
</cp:coreProperties>
</file>