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5A3138" w:rsidRDefault="00601923" w:rsidP="005A31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головного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 w:rsidR="005A3138">
        <w:rPr>
          <w:rFonts w:ascii="Times New Roman" w:hAnsi="Times New Roman"/>
          <w:b/>
          <w:sz w:val="28"/>
          <w:szCs w:val="28"/>
          <w:lang w:val="uk-UA"/>
        </w:rPr>
        <w:t xml:space="preserve">відділу забезпечення зберігання речових доказів та арештованих активів Управління з організації досудових розслідувань </w:t>
      </w:r>
      <w:r w:rsidR="005A3138" w:rsidRPr="00AB67B0">
        <w:rPr>
          <w:rFonts w:ascii="Times New Roman" w:hAnsi="Times New Roman"/>
          <w:b/>
          <w:sz w:val="28"/>
          <w:szCs w:val="28"/>
          <w:lang w:val="uk-UA"/>
        </w:rPr>
        <w:t>Головного слідчого управління</w:t>
      </w:r>
      <w:r w:rsidR="005A31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01923" w:rsidRPr="00FB4F43" w:rsidRDefault="005A3138" w:rsidP="005A3138">
      <w:pPr>
        <w:jc w:val="center"/>
        <w:rPr>
          <w:rFonts w:ascii="Times New Roman" w:hAnsi="Times New Roman"/>
          <w:color w:val="000000"/>
          <w:lang w:val="uk-UA"/>
        </w:rPr>
      </w:pPr>
      <w:r w:rsidRPr="00AB67B0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5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297"/>
        <w:gridCol w:w="5691"/>
        <w:gridCol w:w="9"/>
      </w:tblGrid>
      <w:tr w:rsidR="00601923" w:rsidRPr="00D306E1" w:rsidTr="008A09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5A3138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 xml:space="preserve">вища </w:t>
            </w:r>
            <w:bookmarkStart w:id="0" w:name="_GoBack"/>
            <w:bookmarkEnd w:id="0"/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освіта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F3402C" w:rsidRDefault="005A3138" w:rsidP="00443A9D">
            <w:pPr>
              <w:spacing w:before="150" w:after="15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2E7387">
              <w:rPr>
                <w:rFonts w:ascii="Times New Roman" w:hAnsi="Times New Roman"/>
                <w:lang w:val="uk-UA"/>
              </w:rPr>
              <w:t>раво</w:t>
            </w:r>
            <w:r>
              <w:rPr>
                <w:rFonts w:ascii="Times New Roman" w:hAnsi="Times New Roman"/>
                <w:lang w:val="uk-UA"/>
              </w:rPr>
              <w:t xml:space="preserve"> (правознавство)</w:t>
            </w:r>
            <w:r w:rsidR="00443A9D">
              <w:rPr>
                <w:rFonts w:ascii="Times New Roman" w:hAnsi="Times New Roman"/>
                <w:lang w:val="uk-UA"/>
              </w:rPr>
              <w:t xml:space="preserve">, управління </w:t>
            </w:r>
            <w:r w:rsidR="00B50BAD">
              <w:rPr>
                <w:rFonts w:ascii="Times New Roman" w:hAnsi="Times New Roman"/>
                <w:lang w:val="uk-UA"/>
              </w:rPr>
              <w:t xml:space="preserve">та </w:t>
            </w:r>
            <w:r w:rsidR="00B50BAD">
              <w:rPr>
                <w:rFonts w:ascii="Times New Roman" w:hAnsi="Times New Roman"/>
                <w:lang w:val="uk-UA"/>
              </w:rPr>
              <w:t>адміністрування</w:t>
            </w:r>
            <w:r w:rsidR="00B50BAD">
              <w:rPr>
                <w:rFonts w:ascii="Times New Roman" w:hAnsi="Times New Roman"/>
                <w:lang w:val="uk-UA"/>
              </w:rPr>
              <w:t xml:space="preserve">, </w:t>
            </w:r>
            <w:r w:rsidR="00B50BAD">
              <w:rPr>
                <w:rFonts w:ascii="Times New Roman" w:hAnsi="Times New Roman"/>
                <w:lang w:val="uk-UA"/>
              </w:rPr>
              <w:t>економіка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5F8" w:rsidRPr="00AE35F8" w:rsidRDefault="005A3138" w:rsidP="00A50155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A50155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 років у правоохоронних органах та /або державних органах</w:t>
            </w:r>
            <w:r w:rsidR="00443A9D">
              <w:rPr>
                <w:rFonts w:ascii="Times New Roman" w:hAnsi="Times New Roman"/>
                <w:lang w:val="uk-UA"/>
              </w:rPr>
              <w:t>, підприємствах, організаціях юридичної сфери</w:t>
            </w:r>
            <w:r>
              <w:rPr>
                <w:rFonts w:ascii="Times New Roman" w:hAnsi="Times New Roman"/>
                <w:lang w:val="uk-UA"/>
              </w:rPr>
              <w:t xml:space="preserve"> (після здобуття вищої освіти)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пункт сьомий частини четвертої статті 20 Закону України «Про Державне бюро розслідувань»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8A09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5A3138" w:rsidRPr="001B1966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5A3138" w:rsidRPr="001B1966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:rsidR="005A3138" w:rsidRPr="00E45953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5A3138" w:rsidRPr="00C51165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:rsidR="005A3138" w:rsidRPr="00AD5D42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52"/>
                <w:tab w:val="left" w:pos="194"/>
                <w:tab w:val="left" w:pos="481"/>
              </w:tabs>
              <w:ind w:left="14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 </w:t>
            </w:r>
            <w:r w:rsidRPr="00AD5D42">
              <w:rPr>
                <w:rFonts w:ascii="Times New Roman" w:hAnsi="Times New Roman"/>
                <w:lang w:val="uk-UA"/>
              </w:rPr>
      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</w:t>
            </w:r>
            <w:r>
              <w:rPr>
                <w:rFonts w:ascii="Times New Roman" w:hAnsi="Times New Roman"/>
                <w:lang w:val="uk-UA"/>
              </w:rPr>
              <w:t>ного провадження, затверджений 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1104;</w:t>
            </w:r>
          </w:p>
          <w:p w:rsidR="005A3138" w:rsidRPr="00AD5D42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52"/>
                <w:tab w:val="left" w:pos="194"/>
                <w:tab w:val="left" w:pos="481"/>
              </w:tabs>
              <w:ind w:left="14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 </w:t>
            </w:r>
            <w:r w:rsidRPr="00AD5D42">
              <w:rPr>
                <w:rFonts w:ascii="Times New Roman" w:hAnsi="Times New Roman"/>
                <w:lang w:val="uk-UA"/>
              </w:rPr>
              <w:t xml:space="preserve">Порядок передачі на зберігання тимчасово вилучених під час кримінального провадження документів, які посвідчують користування спеціальним правом, затверджений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</w:t>
            </w:r>
            <w:r w:rsidRPr="00AD5D42">
              <w:rPr>
                <w:rFonts w:ascii="Times New Roman" w:hAnsi="Times New Roman"/>
                <w:bCs/>
                <w:lang w:val="uk-UA"/>
              </w:rPr>
              <w:t xml:space="preserve">; </w:t>
            </w:r>
          </w:p>
          <w:p w:rsidR="00601923" w:rsidRPr="00D306E1" w:rsidRDefault="005A3138" w:rsidP="005A3138">
            <w:pPr>
              <w:pStyle w:val="a3"/>
              <w:tabs>
                <w:tab w:val="left" w:pos="335"/>
              </w:tabs>
              <w:ind w:left="14"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   інше </w:t>
            </w:r>
            <w:r w:rsidRPr="00EA64D2">
              <w:rPr>
                <w:rFonts w:ascii="Times New Roman" w:hAnsi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01923" w:rsidRPr="005A3138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AD5D42" w:rsidRDefault="00DE7942" w:rsidP="005A3138">
            <w:pPr>
              <w:numPr>
                <w:ilvl w:val="1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>
              <w:rPr>
                <w:rFonts w:ascii="Times New Roman" w:hAnsi="Times New Roman"/>
                <w:lang w:val="uk-UA"/>
              </w:rPr>
              <w:t xml:space="preserve">досвід </w:t>
            </w:r>
            <w:r w:rsidR="005A3138" w:rsidRPr="00AD5D42">
              <w:rPr>
                <w:rFonts w:ascii="Times New Roman" w:hAnsi="Times New Roman"/>
                <w:lang w:val="uk-UA"/>
              </w:rPr>
              <w:t xml:space="preserve">зберігання речових доказів; 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знання у сфері обліку речових доказів, їх належного упакування;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>
              <w:rPr>
                <w:rFonts w:ascii="Times New Roman" w:hAnsi="Times New Roman"/>
                <w:lang w:val="uk-UA"/>
              </w:rPr>
              <w:t xml:space="preserve">вміння </w:t>
            </w:r>
            <w:r w:rsidR="005A3138" w:rsidRPr="00AD5D42">
              <w:rPr>
                <w:rFonts w:ascii="Times New Roman" w:hAnsi="Times New Roman"/>
                <w:lang w:val="uk-UA"/>
              </w:rPr>
              <w:t>організовувати належні умови зберігання речових доказів;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вміння забезпечувати цілісність та схоронності речових доказів прийнятих на зберігання;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вміння працювати з великими об’ємами інформації;</w:t>
            </w:r>
          </w:p>
          <w:p w:rsidR="005A3138" w:rsidRPr="00AD5D42" w:rsidRDefault="00DE7942" w:rsidP="005A3138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:rsidR="005A3138" w:rsidRDefault="00DE7942" w:rsidP="005A3138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:rsidR="00601923" w:rsidRPr="005A3138" w:rsidRDefault="005A3138" w:rsidP="005A3138">
            <w:pPr>
              <w:tabs>
                <w:tab w:val="left" w:pos="194"/>
                <w:tab w:val="left" w:pos="411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BE3FD6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5A3138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D306E1" w:rsidRDefault="005A3138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D306E1" w:rsidRDefault="005A3138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оперативне виконання рішень;</w:t>
            </w:r>
          </w:p>
          <w:p w:rsidR="00DE794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 xml:space="preserve">систематизація інформації та аналітичне </w:t>
            </w:r>
          </w:p>
          <w:p w:rsidR="005A3138" w:rsidRPr="00712EE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мислення;</w:t>
            </w:r>
          </w:p>
          <w:p w:rsidR="005A3138" w:rsidRPr="00712EE2" w:rsidRDefault="005A3138" w:rsidP="005A313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5A3138" w:rsidRPr="00712EE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:rsidR="005A3138" w:rsidRPr="005A3138" w:rsidRDefault="005A3138" w:rsidP="005A3138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8A096E" w:rsidRPr="005A3138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Pr="00712EE2" w:rsidRDefault="008A096E" w:rsidP="00CB6D7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Комунікація</w:t>
            </w:r>
            <w:r w:rsidRPr="00712EE2">
              <w:rPr>
                <w:rFonts w:ascii="Times New Roman" w:hAnsi="Times New Roman"/>
                <w:lang w:val="uk-UA"/>
              </w:rPr>
              <w:t xml:space="preserve"> та взаємодія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8A096E" w:rsidRPr="00712EE2" w:rsidRDefault="008A096E" w:rsidP="008A096E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8A096E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8A096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 xml:space="preserve">- </w:t>
            </w:r>
            <w:r w:rsidR="00DE7942">
              <w:rPr>
                <w:lang w:val="uk-UA"/>
              </w:rPr>
              <w:t xml:space="preserve">  </w:t>
            </w:r>
            <w:r w:rsidRPr="000B4503">
              <w:rPr>
                <w:rFonts w:eastAsia="Times New Roman"/>
                <w:color w:val="000000"/>
                <w:szCs w:val="28"/>
                <w:lang w:val="ru-RU" w:eastAsia="uk-UA"/>
              </w:rPr>
              <w:t>здатність формувати концептуальні пропозиції, ідеї та підходи</w:t>
            </w:r>
            <w:r w:rsidRPr="00712EE2">
              <w:rPr>
                <w:lang w:val="uk-UA"/>
              </w:rPr>
              <w:t>;</w:t>
            </w:r>
          </w:p>
          <w:p w:rsidR="008A096E" w:rsidRPr="00712EE2" w:rsidRDefault="008A096E" w:rsidP="008A096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ru-RU" w:eastAsia="uk-UA"/>
              </w:rPr>
              <w:t xml:space="preserve">- </w:t>
            </w:r>
            <w:r w:rsidR="00DE7942">
              <w:rPr>
                <w:rFonts w:eastAsia="Times New Roman"/>
                <w:color w:val="000000"/>
                <w:szCs w:val="28"/>
                <w:lang w:val="ru-RU" w:eastAsia="uk-UA"/>
              </w:rPr>
              <w:t xml:space="preserve">  </w:t>
            </w:r>
            <w:r w:rsidRPr="000B4503">
              <w:rPr>
                <w:rFonts w:eastAsia="Times New Roman"/>
                <w:color w:val="000000"/>
                <w:szCs w:val="28"/>
                <w:lang w:val="ru-RU" w:eastAsia="uk-UA"/>
              </w:rPr>
              <w:t>вміння планувати, оцінювати ефективність та коригувати плани</w:t>
            </w:r>
          </w:p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spacing w:val="-2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EC35B7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надійність;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601923" w:rsidRPr="00D306E1" w:rsidRDefault="008A096E" w:rsidP="008A096E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у стресових ситуаціях</w:t>
            </w:r>
          </w:p>
        </w:tc>
      </w:tr>
    </w:tbl>
    <w:p w:rsidR="00601923" w:rsidRDefault="00601923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B526E2" w:rsidRPr="00D306E1" w:rsidRDefault="00B526E2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2853EB" w:rsidRPr="00AC69AA" w:rsidRDefault="00FD6B12">
      <w:pPr>
        <w:rPr>
          <w:lang w:val="uk-UA"/>
        </w:rPr>
      </w:pPr>
    </w:p>
    <w:sectPr w:rsidR="002853EB" w:rsidRPr="00AC69AA" w:rsidSect="00A12E27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B12" w:rsidRDefault="00FD6B12">
      <w:r>
        <w:separator/>
      </w:r>
    </w:p>
  </w:endnote>
  <w:endnote w:type="continuationSeparator" w:id="0">
    <w:p w:rsidR="00FD6B12" w:rsidRDefault="00F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B12" w:rsidRDefault="00FD6B12">
      <w:r>
        <w:separator/>
      </w:r>
    </w:p>
  </w:footnote>
  <w:footnote w:type="continuationSeparator" w:id="0">
    <w:p w:rsidR="00FD6B12" w:rsidRDefault="00FD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FD6B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C35B7">
      <w:rPr>
        <w:rStyle w:val="a6"/>
        <w:noProof/>
      </w:rPr>
      <w:t>3</w:t>
    </w:r>
    <w:r>
      <w:rPr>
        <w:rStyle w:val="a6"/>
      </w:rPr>
      <w:fldChar w:fldCharType="end"/>
    </w:r>
  </w:p>
  <w:p w:rsidR="00A12E27" w:rsidRDefault="00FD6B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D39F0"/>
    <w:multiLevelType w:val="hybridMultilevel"/>
    <w:tmpl w:val="A98A8AA4"/>
    <w:lvl w:ilvl="0" w:tplc="566617A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923"/>
    <w:rsid w:val="001346FB"/>
    <w:rsid w:val="00150534"/>
    <w:rsid w:val="002353E8"/>
    <w:rsid w:val="00384C90"/>
    <w:rsid w:val="00443A9D"/>
    <w:rsid w:val="004A3A01"/>
    <w:rsid w:val="004B0125"/>
    <w:rsid w:val="00504CCD"/>
    <w:rsid w:val="005A3138"/>
    <w:rsid w:val="00601923"/>
    <w:rsid w:val="00650E2C"/>
    <w:rsid w:val="00672C9E"/>
    <w:rsid w:val="006E3172"/>
    <w:rsid w:val="00752ACD"/>
    <w:rsid w:val="007D19C2"/>
    <w:rsid w:val="008A096E"/>
    <w:rsid w:val="008B2F12"/>
    <w:rsid w:val="00930895"/>
    <w:rsid w:val="00994143"/>
    <w:rsid w:val="00A50155"/>
    <w:rsid w:val="00AC69AA"/>
    <w:rsid w:val="00AE35F8"/>
    <w:rsid w:val="00B16ADA"/>
    <w:rsid w:val="00B50BAD"/>
    <w:rsid w:val="00B526E2"/>
    <w:rsid w:val="00DE7942"/>
    <w:rsid w:val="00E31E4E"/>
    <w:rsid w:val="00E53A7D"/>
    <w:rsid w:val="00EC35B7"/>
    <w:rsid w:val="00F22F50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6B6"/>
  <w15:docId w15:val="{9A937BDA-D2C8-4C1D-9A9C-F344AE53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5A3138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Kydenko Olena</cp:lastModifiedBy>
  <cp:revision>4</cp:revision>
  <dcterms:created xsi:type="dcterms:W3CDTF">2020-05-15T13:57:00Z</dcterms:created>
  <dcterms:modified xsi:type="dcterms:W3CDTF">2020-05-20T06:25:00Z</dcterms:modified>
</cp:coreProperties>
</file>