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0BF0B3C4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204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старшого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204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>організації досудових розслідувань Управління з організації досудових розслідувань</w:t>
      </w:r>
      <w:r w:rsidR="009E178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1471B" w:rsidRPr="00314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390C90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B45244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D625A8" w14:paraId="558AB184" w14:textId="77777777" w:rsidTr="00B45244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66A3904" w:rsidR="000A108E" w:rsidRPr="00206930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390C90" w14:paraId="28A0FACF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C46C0" w14:textId="77777777" w:rsidR="00633060" w:rsidRDefault="00397513" w:rsidP="00D543DB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397513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6</w:t>
            </w:r>
            <w:r w:rsidRPr="00397513">
              <w:rPr>
                <w:rFonts w:ascii="Times New Roman" w:hAnsi="Times New Roman"/>
                <w:lang w:val="uk-UA"/>
              </w:rPr>
              <w:t xml:space="preserve"> років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97513"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633060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11D5D116" w:rsidR="005161D0" w:rsidRPr="001C1A9C" w:rsidRDefault="00633060" w:rsidP="00D543DB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633060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90C90" w14:paraId="4717D824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AC1B716" w:rsidR="006500EE" w:rsidRPr="00712EE2" w:rsidRDefault="006500EE" w:rsidP="001D723E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1D723E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390C90" w14:paraId="218D35B1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D625A8" w:rsidRDefault="00EC6EB9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D34D316" w:rsidR="00EC6EB9" w:rsidRPr="00D625A8" w:rsidRDefault="00EC6EB9" w:rsidP="00967CDB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625A8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5D30E25" w:rsidR="00EC6EB9" w:rsidRPr="00712EE2" w:rsidRDefault="00D55874" w:rsidP="00D625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D55874">
              <w:rPr>
                <w:rFonts w:ascii="Times New Roman" w:hAnsi="Times New Roman" w:cs="Times New Roman"/>
                <w:lang w:val="uk-UA"/>
              </w:rPr>
              <w:t>старший начальницький склад Державного бюро розслідувань</w:t>
            </w:r>
          </w:p>
        </w:tc>
      </w:tr>
      <w:tr w:rsidR="00712EE2" w:rsidRPr="00712EE2" w14:paraId="512831F8" w14:textId="77777777" w:rsidTr="00B45244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90C90" w14:paraId="0937246E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90C90" w14:paraId="3E3799D3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6A7F03CE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31471B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31471B">
              <w:rPr>
                <w:rFonts w:ascii="Times New Roman" w:hAnsi="Times New Roman" w:cs="Times New Roman"/>
                <w:lang w:val="uk-UA"/>
              </w:rPr>
              <w:t>злочинів</w:t>
            </w:r>
            <w:proofErr w:type="spellEnd"/>
            <w:r w:rsidR="0031471B">
              <w:rPr>
                <w:rFonts w:ascii="Times New Roman" w:hAnsi="Times New Roman" w:cs="Times New Roman"/>
                <w:lang w:val="uk-UA"/>
              </w:rPr>
              <w:t xml:space="preserve"> у сфері господарської діяльності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390C90" w14:paraId="261972F9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F8126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D4A160C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390C90" w14:paraId="73698FD8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1E81390F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90C90" w14:paraId="62C5DEBC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0D2871D4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390C90" w14:paraId="6126A366" w14:textId="77777777" w:rsidTr="00B45244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133C64D6" w:rsidR="00766EF7" w:rsidRPr="00712EE2" w:rsidRDefault="00B45244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5076C008" w14:textId="77777777" w:rsidR="002812A2" w:rsidRPr="00D11A1B" w:rsidRDefault="002812A2" w:rsidP="002812A2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/>
          <w:b/>
          <w:sz w:val="28"/>
          <w:szCs w:val="28"/>
          <w:lang w:val="uk-UA"/>
        </w:rPr>
        <w:t>Головного слі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>дчого управління</w:t>
      </w:r>
    </w:p>
    <w:p w14:paraId="76B1D79B" w14:textId="77777777" w:rsidR="002812A2" w:rsidRPr="00D11A1B" w:rsidRDefault="002812A2" w:rsidP="002812A2">
      <w:pPr>
        <w:tabs>
          <w:tab w:val="left" w:pos="1276"/>
        </w:tabs>
        <w:ind w:right="-90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1A1B">
        <w:rPr>
          <w:rFonts w:ascii="Times New Roman" w:hAnsi="Times New Roman"/>
          <w:b/>
          <w:sz w:val="28"/>
          <w:szCs w:val="28"/>
          <w:lang w:val="uk-UA"/>
        </w:rPr>
        <w:t xml:space="preserve">Державного бюро розслідувань </w:t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 w:rsidRPr="00D11A1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М.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Борчаковський</w:t>
      </w:r>
      <w:proofErr w:type="spellEnd"/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6B2CE" w14:textId="77777777" w:rsidR="0079085F" w:rsidRDefault="0079085F" w:rsidP="009B031F">
      <w:r>
        <w:separator/>
      </w:r>
    </w:p>
  </w:endnote>
  <w:endnote w:type="continuationSeparator" w:id="0">
    <w:p w14:paraId="21217293" w14:textId="77777777" w:rsidR="0079085F" w:rsidRDefault="0079085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1C129" w14:textId="77777777" w:rsidR="0079085F" w:rsidRDefault="0079085F" w:rsidP="009B031F">
      <w:r>
        <w:separator/>
      </w:r>
    </w:p>
  </w:footnote>
  <w:footnote w:type="continuationSeparator" w:id="0">
    <w:p w14:paraId="584271DE" w14:textId="77777777" w:rsidR="0079085F" w:rsidRDefault="0079085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30839"/>
    <w:rsid w:val="00045CDB"/>
    <w:rsid w:val="00053447"/>
    <w:rsid w:val="00061E62"/>
    <w:rsid w:val="00065ACB"/>
    <w:rsid w:val="00066673"/>
    <w:rsid w:val="000A108E"/>
    <w:rsid w:val="000A4513"/>
    <w:rsid w:val="000F65B8"/>
    <w:rsid w:val="001477BB"/>
    <w:rsid w:val="00173CA6"/>
    <w:rsid w:val="00190A92"/>
    <w:rsid w:val="001B03C6"/>
    <w:rsid w:val="001C1A9C"/>
    <w:rsid w:val="001D723E"/>
    <w:rsid w:val="00204FE9"/>
    <w:rsid w:val="00206930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1471B"/>
    <w:rsid w:val="0031598C"/>
    <w:rsid w:val="003166DF"/>
    <w:rsid w:val="0033236E"/>
    <w:rsid w:val="003345B6"/>
    <w:rsid w:val="00345878"/>
    <w:rsid w:val="003628F6"/>
    <w:rsid w:val="00390C90"/>
    <w:rsid w:val="00390CAE"/>
    <w:rsid w:val="00392639"/>
    <w:rsid w:val="00397513"/>
    <w:rsid w:val="003B50BB"/>
    <w:rsid w:val="003D43F5"/>
    <w:rsid w:val="003D580D"/>
    <w:rsid w:val="003F18A7"/>
    <w:rsid w:val="00421706"/>
    <w:rsid w:val="0042435E"/>
    <w:rsid w:val="0042738A"/>
    <w:rsid w:val="00433FA7"/>
    <w:rsid w:val="00441DC5"/>
    <w:rsid w:val="00442425"/>
    <w:rsid w:val="00443B6B"/>
    <w:rsid w:val="004607E6"/>
    <w:rsid w:val="004650ED"/>
    <w:rsid w:val="00483744"/>
    <w:rsid w:val="004872E1"/>
    <w:rsid w:val="0049103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0684A"/>
    <w:rsid w:val="0061565A"/>
    <w:rsid w:val="00632118"/>
    <w:rsid w:val="00633060"/>
    <w:rsid w:val="006343EE"/>
    <w:rsid w:val="00635704"/>
    <w:rsid w:val="006500EE"/>
    <w:rsid w:val="0065245D"/>
    <w:rsid w:val="00656990"/>
    <w:rsid w:val="00663F3B"/>
    <w:rsid w:val="00683561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085F"/>
    <w:rsid w:val="007B1CCA"/>
    <w:rsid w:val="007C6933"/>
    <w:rsid w:val="007D111C"/>
    <w:rsid w:val="007E3087"/>
    <w:rsid w:val="007E43BD"/>
    <w:rsid w:val="007E7A0E"/>
    <w:rsid w:val="00840BCC"/>
    <w:rsid w:val="00840F0C"/>
    <w:rsid w:val="008824A5"/>
    <w:rsid w:val="00887A26"/>
    <w:rsid w:val="0089146D"/>
    <w:rsid w:val="008920FB"/>
    <w:rsid w:val="008A2403"/>
    <w:rsid w:val="008B7006"/>
    <w:rsid w:val="008D1777"/>
    <w:rsid w:val="008D6B0D"/>
    <w:rsid w:val="008F3769"/>
    <w:rsid w:val="008F789D"/>
    <w:rsid w:val="00905FF8"/>
    <w:rsid w:val="00913D4C"/>
    <w:rsid w:val="00915D51"/>
    <w:rsid w:val="009302AE"/>
    <w:rsid w:val="0094448F"/>
    <w:rsid w:val="009505D5"/>
    <w:rsid w:val="009524D2"/>
    <w:rsid w:val="00962760"/>
    <w:rsid w:val="00963FF0"/>
    <w:rsid w:val="00967CDB"/>
    <w:rsid w:val="00991063"/>
    <w:rsid w:val="009945AE"/>
    <w:rsid w:val="009A58B0"/>
    <w:rsid w:val="009B031F"/>
    <w:rsid w:val="009B534A"/>
    <w:rsid w:val="009E178D"/>
    <w:rsid w:val="009E4638"/>
    <w:rsid w:val="009E51FA"/>
    <w:rsid w:val="009E5FAD"/>
    <w:rsid w:val="009F0A62"/>
    <w:rsid w:val="009F3C41"/>
    <w:rsid w:val="00A052DE"/>
    <w:rsid w:val="00A056CB"/>
    <w:rsid w:val="00A10DC7"/>
    <w:rsid w:val="00A2775A"/>
    <w:rsid w:val="00A40F1A"/>
    <w:rsid w:val="00A44B95"/>
    <w:rsid w:val="00A834D5"/>
    <w:rsid w:val="00AA3869"/>
    <w:rsid w:val="00AB67B0"/>
    <w:rsid w:val="00AB7880"/>
    <w:rsid w:val="00AD3BD2"/>
    <w:rsid w:val="00AD4747"/>
    <w:rsid w:val="00AE6A1A"/>
    <w:rsid w:val="00AF5110"/>
    <w:rsid w:val="00B023DE"/>
    <w:rsid w:val="00B101F6"/>
    <w:rsid w:val="00B21552"/>
    <w:rsid w:val="00B24C54"/>
    <w:rsid w:val="00B45244"/>
    <w:rsid w:val="00B50EC9"/>
    <w:rsid w:val="00B56D29"/>
    <w:rsid w:val="00B646CB"/>
    <w:rsid w:val="00B65110"/>
    <w:rsid w:val="00B8269F"/>
    <w:rsid w:val="00B909FB"/>
    <w:rsid w:val="00B941FC"/>
    <w:rsid w:val="00B97131"/>
    <w:rsid w:val="00BD35D7"/>
    <w:rsid w:val="00BD6507"/>
    <w:rsid w:val="00BE0ABB"/>
    <w:rsid w:val="00BE5052"/>
    <w:rsid w:val="00BF2C25"/>
    <w:rsid w:val="00C0504A"/>
    <w:rsid w:val="00C1195D"/>
    <w:rsid w:val="00C1430A"/>
    <w:rsid w:val="00C2356C"/>
    <w:rsid w:val="00C2405B"/>
    <w:rsid w:val="00C35671"/>
    <w:rsid w:val="00C42181"/>
    <w:rsid w:val="00C46826"/>
    <w:rsid w:val="00C71D68"/>
    <w:rsid w:val="00C72DE0"/>
    <w:rsid w:val="00C82B02"/>
    <w:rsid w:val="00C96CB2"/>
    <w:rsid w:val="00CA17C9"/>
    <w:rsid w:val="00CB1268"/>
    <w:rsid w:val="00CD13DE"/>
    <w:rsid w:val="00CD7040"/>
    <w:rsid w:val="00CE7480"/>
    <w:rsid w:val="00CF330F"/>
    <w:rsid w:val="00CF42EF"/>
    <w:rsid w:val="00D32067"/>
    <w:rsid w:val="00D44806"/>
    <w:rsid w:val="00D543DB"/>
    <w:rsid w:val="00D55874"/>
    <w:rsid w:val="00D625A8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75250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2691</Words>
  <Characters>1534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18</cp:revision>
  <cp:lastPrinted>2020-07-10T10:11:00Z</cp:lastPrinted>
  <dcterms:created xsi:type="dcterms:W3CDTF">2020-07-09T10:08:00Z</dcterms:created>
  <dcterms:modified xsi:type="dcterms:W3CDTF">2020-07-10T12:57:00Z</dcterms:modified>
</cp:coreProperties>
</file>