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CE6DE"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23F85D06" w14:textId="77777777" w:rsidR="00130F0E" w:rsidRDefault="00130F0E" w:rsidP="00130F0E">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0A157E3C" w14:textId="66B3E997" w:rsidR="00130F0E" w:rsidRDefault="00130F0E" w:rsidP="00130F0E">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668</w:t>
      </w:r>
    </w:p>
    <w:p w14:paraId="3451D091" w14:textId="77777777" w:rsidR="00574039" w:rsidRDefault="00574039" w:rsidP="00FD1DB1">
      <w:pPr>
        <w:autoSpaceDE w:val="0"/>
        <w:autoSpaceDN w:val="0"/>
        <w:adjustRightInd w:val="0"/>
        <w:jc w:val="both"/>
        <w:rPr>
          <w:rFonts w:ascii="Times New Roman" w:hAnsi="Times New Roman"/>
          <w:color w:val="000000"/>
          <w:sz w:val="28"/>
          <w:szCs w:val="28"/>
          <w:lang w:val="uk-UA"/>
        </w:rPr>
      </w:pPr>
      <w:bookmarkStart w:id="0" w:name="_GoBack"/>
      <w:bookmarkEnd w:id="0"/>
    </w:p>
    <w:p w14:paraId="41BB25B7" w14:textId="77777777" w:rsidR="00574039" w:rsidRDefault="00574039" w:rsidP="0057403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43A2AB8E" w14:textId="77777777" w:rsidR="005A22E5" w:rsidRDefault="00574039" w:rsidP="00574039">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574039">
        <w:rPr>
          <w:rFonts w:ascii="Times New Roman" w:hAnsi="Times New Roman"/>
          <w:b/>
          <w:bCs/>
          <w:sz w:val="28"/>
          <w:szCs w:val="28"/>
          <w:lang w:val="uk-UA"/>
        </w:rPr>
        <w:t>оперуповноваженого</w:t>
      </w:r>
      <w:r w:rsidRPr="00FD1DB1">
        <w:rPr>
          <w:rFonts w:ascii="Times New Roman" w:hAnsi="Times New Roman"/>
          <w:b/>
          <w:bCs/>
          <w:sz w:val="28"/>
          <w:szCs w:val="28"/>
          <w:lang w:val="ru-RU"/>
        </w:rPr>
        <w:t xml:space="preserve"> </w:t>
      </w:r>
      <w:r w:rsidRPr="00574039">
        <w:rPr>
          <w:rFonts w:ascii="Times New Roman" w:hAnsi="Times New Roman"/>
          <w:b/>
          <w:bCs/>
          <w:sz w:val="28"/>
          <w:szCs w:val="28"/>
          <w:lang w:val="uk-UA"/>
        </w:rPr>
        <w:t xml:space="preserve">Першого оперативного відділу </w:t>
      </w:r>
    </w:p>
    <w:p w14:paraId="529C4AC4" w14:textId="77777777" w:rsidR="00574039" w:rsidRDefault="00574039" w:rsidP="00574039">
      <w:pPr>
        <w:jc w:val="center"/>
        <w:rPr>
          <w:rFonts w:ascii="Times New Roman" w:hAnsi="Times New Roman"/>
          <w:b/>
          <w:bCs/>
          <w:sz w:val="28"/>
          <w:szCs w:val="28"/>
          <w:lang w:val="uk-UA"/>
        </w:rPr>
      </w:pPr>
      <w:r w:rsidRPr="00574039">
        <w:rPr>
          <w:rFonts w:ascii="Times New Roman" w:hAnsi="Times New Roman"/>
          <w:b/>
          <w:bCs/>
          <w:sz w:val="28"/>
          <w:szCs w:val="28"/>
          <w:lang w:val="uk-UA"/>
        </w:rPr>
        <w:t>(з дислокацією у м. Львові), Другого оперативного відділу (з дислокацією у м. Луцьку), Третього оперативного відділу (з дислокацією у м. Тернополі), Четвертого оперативного відділу (з дислокацією у м. Івано-Франківську), П’ятого оперативного відділу (з дислокацією у м. Ужгороді) Територіального управління Державного бюро розслідувань</w:t>
      </w:r>
      <w:r w:rsidR="0083218D">
        <w:rPr>
          <w:rFonts w:ascii="Times New Roman" w:hAnsi="Times New Roman"/>
          <w:b/>
          <w:bCs/>
          <w:sz w:val="28"/>
          <w:szCs w:val="28"/>
          <w:lang w:val="uk-UA"/>
        </w:rPr>
        <w:t>,</w:t>
      </w:r>
      <w:r>
        <w:rPr>
          <w:rFonts w:ascii="Times New Roman" w:hAnsi="Times New Roman"/>
          <w:b/>
          <w:bCs/>
          <w:sz w:val="28"/>
          <w:szCs w:val="28"/>
          <w:lang w:val="uk-UA"/>
        </w:rPr>
        <w:t xml:space="preserve"> розташованого у місті Львові</w:t>
      </w:r>
    </w:p>
    <w:p w14:paraId="75503FAD" w14:textId="77777777" w:rsidR="00FD1DB1" w:rsidRDefault="00FD1DB1" w:rsidP="00FD1DB1">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FD1DB1" w14:paraId="64F3798B" w14:textId="77777777" w:rsidTr="00FD1DB1">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22A7D1B3"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1B2491A0"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FD1DB1" w14:paraId="36366F90" w14:textId="77777777" w:rsidTr="00FD1DB1">
        <w:tc>
          <w:tcPr>
            <w:tcW w:w="491" w:type="dxa"/>
            <w:vMerge w:val="restart"/>
            <w:tcBorders>
              <w:top w:val="single" w:sz="6" w:space="0" w:color="000000"/>
              <w:left w:val="single" w:sz="6" w:space="0" w:color="000000"/>
              <w:bottom w:val="single" w:sz="6" w:space="0" w:color="000000"/>
              <w:right w:val="single" w:sz="6" w:space="0" w:color="000000"/>
            </w:tcBorders>
            <w:hideMark/>
          </w:tcPr>
          <w:p w14:paraId="6B8AC234"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54936A2"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4C1B481" w14:textId="77777777" w:rsidR="00FD1DB1" w:rsidRDefault="00FD1DB1">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FD1DB1" w14:paraId="43BDEF98" w14:textId="77777777" w:rsidTr="00FD1D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62B1B7" w14:textId="77777777" w:rsidR="00FD1DB1" w:rsidRDefault="00FD1DB1">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248A17C"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767CA04" w14:textId="77777777" w:rsidR="00FD1DB1" w:rsidRDefault="00FD1DB1">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FD1DB1" w:rsidRPr="00B256E9" w14:paraId="44F01B78" w14:textId="77777777" w:rsidTr="00FD1DB1">
        <w:tc>
          <w:tcPr>
            <w:tcW w:w="0" w:type="auto"/>
            <w:tcBorders>
              <w:top w:val="single" w:sz="6" w:space="0" w:color="000000"/>
              <w:left w:val="single" w:sz="6" w:space="0" w:color="000000"/>
              <w:bottom w:val="single" w:sz="6" w:space="0" w:color="000000"/>
              <w:right w:val="single" w:sz="6" w:space="0" w:color="000000"/>
            </w:tcBorders>
            <w:vAlign w:val="center"/>
          </w:tcPr>
          <w:p w14:paraId="689D6286" w14:textId="77777777" w:rsidR="00FD1DB1" w:rsidRDefault="00FD1DB1">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8D99361"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DF7F53C"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3C87E885" w14:textId="77777777" w:rsidR="00FD1DB1" w:rsidRDefault="00FD1DB1">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FD1DB1" w:rsidRPr="00B256E9" w14:paraId="40B0A013" w14:textId="77777777" w:rsidTr="00FD1DB1">
        <w:tc>
          <w:tcPr>
            <w:tcW w:w="491" w:type="dxa"/>
            <w:tcBorders>
              <w:top w:val="single" w:sz="6" w:space="0" w:color="000000"/>
              <w:left w:val="single" w:sz="6" w:space="0" w:color="000000"/>
              <w:bottom w:val="single" w:sz="6" w:space="0" w:color="000000"/>
              <w:right w:val="single" w:sz="6" w:space="0" w:color="000000"/>
            </w:tcBorders>
            <w:vAlign w:val="center"/>
            <w:hideMark/>
          </w:tcPr>
          <w:p w14:paraId="4A5AACAD"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39F39C6" w14:textId="77777777" w:rsidR="00FD1DB1" w:rsidRDefault="00FD1DB1">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E781AFF" w14:textId="77777777" w:rsidR="00FD1DB1" w:rsidRDefault="00FD1DB1">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1 року</w:t>
            </w:r>
          </w:p>
        </w:tc>
      </w:tr>
      <w:tr w:rsidR="00FD1DB1" w:rsidRPr="00B256E9" w14:paraId="3F4B93FF"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52F9C0E8"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526A7379" w14:textId="77777777" w:rsidR="00FD1DB1" w:rsidRDefault="00FD1DB1">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58DCD813" w14:textId="77777777" w:rsidR="00FD1DB1" w:rsidRDefault="00FD1DB1">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2B5A390E" w14:textId="77777777" w:rsidR="00FD1DB1" w:rsidRDefault="00FD1DB1">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FD1DB1" w14:paraId="06A8FA09"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5179632B"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8DE580A"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4E4554B" w14:textId="77777777" w:rsidR="00FD1DB1" w:rsidRDefault="00FD1DB1">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FD1DB1" w:rsidRPr="00B256E9" w14:paraId="562D9240"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1B8CF24E"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938554F"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512D694D" w14:textId="77777777" w:rsidR="00FD1DB1" w:rsidRDefault="00FD1DB1">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FD1DB1" w:rsidRPr="00B256E9" w14:paraId="12B6B102"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2D5094F1"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76EA66A" w14:textId="77777777" w:rsidR="00FD1DB1" w:rsidRDefault="00FD1DB1">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AF2E136" w14:textId="77777777" w:rsidR="00FD1DB1" w:rsidRDefault="00FD1DB1">
            <w:pPr>
              <w:spacing w:line="256" w:lineRule="auto"/>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FD1DB1" w14:paraId="229BB2C8"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05B14BC8"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7DB4F804"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FD1DB1" w:rsidRPr="00B256E9" w14:paraId="60CD9A56"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4A2669EA"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3EBA05E2"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01807AB5" w14:textId="77777777" w:rsidR="00FD1DB1" w:rsidRDefault="00FD1DB1" w:rsidP="00FD1DB1">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38F02FCC"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716667DE"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00ABB540"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565506A1"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16EC390A" w14:textId="77777777" w:rsidR="00FD1DB1" w:rsidRDefault="00FD1DB1">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7F54FECF"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7AC044A8" w14:textId="77777777" w:rsidR="00FD1DB1" w:rsidRDefault="00FD1DB1" w:rsidP="00FD1DB1">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3D16CBCE" w14:textId="77777777" w:rsidR="00FD1DB1" w:rsidRDefault="00FD1DB1" w:rsidP="00FD1DB1">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2E957188" w14:textId="77777777" w:rsidR="00FD1DB1" w:rsidRDefault="00FD1DB1" w:rsidP="00FD1DB1">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36314420"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1B0F51AD"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35BD095A"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301CA1AE"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55735DD6"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45E3BB79"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4C9BFDE7"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176864CE"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1AEFFD2B" w14:textId="77777777" w:rsidR="00FD1DB1" w:rsidRDefault="00FD1DB1" w:rsidP="00FD1DB1">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03D0154B" w14:textId="77777777" w:rsidR="00FD1DB1" w:rsidRDefault="00FD1DB1" w:rsidP="00FD1DB1">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FD1DB1" w:rsidRPr="00B256E9" w14:paraId="13A75EBA"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4AA6C902"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7B7A1D8D"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16CCA389" w14:textId="77777777" w:rsidR="00FD1DB1" w:rsidRDefault="00FD1DB1">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43AA753E" w14:textId="77777777" w:rsidR="00FD1DB1" w:rsidRDefault="00FD1DB1">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7D60A762" w14:textId="77777777" w:rsidR="00FD1DB1" w:rsidRDefault="00FD1DB1">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00024EF8" w14:textId="77777777" w:rsidR="00FD1DB1" w:rsidRDefault="00FD1DB1">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739C3703" w14:textId="77777777" w:rsidR="00FD1DB1" w:rsidRDefault="00FD1DB1">
            <w:pPr>
              <w:spacing w:line="256" w:lineRule="auto"/>
              <w:ind w:firstLine="55"/>
              <w:jc w:val="both"/>
              <w:rPr>
                <w:rFonts w:ascii="Times New Roman" w:hAnsi="Times New Roman"/>
                <w:lang w:val="uk-UA"/>
              </w:rPr>
            </w:pPr>
            <w:r>
              <w:rPr>
                <w:rFonts w:ascii="Times New Roman" w:hAnsi="Times New Roman"/>
                <w:lang w:val="uk-UA"/>
              </w:rPr>
              <w:lastRenderedPageBreak/>
              <w:t xml:space="preserve">- методів </w:t>
            </w:r>
            <w:r>
              <w:rPr>
                <w:rFonts w:ascii="Times New Roman" w:eastAsia="Times New Roman" w:hAnsi="Times New Roman"/>
                <w:lang w:val="uk-UA"/>
              </w:rPr>
              <w:t>проведення негласних слідчих (розшукових) дій;</w:t>
            </w:r>
          </w:p>
          <w:p w14:paraId="4AF773C3" w14:textId="77777777" w:rsidR="00FD1DB1" w:rsidRDefault="00FD1DB1">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1220E96B" w14:textId="77777777" w:rsidR="00FD1DB1" w:rsidRDefault="00FD1DB1">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FD1DB1" w:rsidRPr="00B256E9" w14:paraId="5D848820"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16E9C988"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21E53695"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716BB33D" w14:textId="77777777" w:rsidR="00FD1DB1" w:rsidRDefault="00FD1DB1" w:rsidP="00FD1DB1">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4BC82571" w14:textId="77777777" w:rsidR="00FD1DB1" w:rsidRDefault="00FD1DB1" w:rsidP="00FD1DB1">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58514AAC" w14:textId="77777777" w:rsidR="00FD1DB1" w:rsidRDefault="00FD1DB1" w:rsidP="00FD1DB1">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41AA9488" w14:textId="77777777" w:rsidR="00FD1DB1" w:rsidRDefault="00FD1DB1" w:rsidP="00FD1DB1">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4810FC66" w14:textId="77777777" w:rsidR="00FD1DB1" w:rsidRDefault="00FD1DB1" w:rsidP="00FD1DB1">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4EAFAA79" w14:textId="77777777" w:rsidR="00FD1DB1" w:rsidRDefault="00FD1DB1" w:rsidP="00FD1DB1">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442BC07E" w14:textId="77777777" w:rsidR="00FD1DB1" w:rsidRDefault="00FD1DB1" w:rsidP="00FD1DB1">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FD1DB1" w14:paraId="114D0460"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4067121C"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4D2E97E2"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0F859F88" w14:textId="77777777" w:rsidR="00FD1DB1" w:rsidRDefault="00FD1DB1" w:rsidP="00FD1DB1">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1445E380" w14:textId="77777777" w:rsidR="00FD1DB1" w:rsidRDefault="00FD1DB1" w:rsidP="00FD1DB1">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583556BA" w14:textId="77777777" w:rsidR="00FD1DB1" w:rsidRDefault="00FD1DB1" w:rsidP="00FD1DB1">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FD1DB1" w:rsidRPr="00B256E9" w14:paraId="47EF5C38"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52AD9271"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67D7E266"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60154BBA" w14:textId="77777777" w:rsidR="00FD1DB1" w:rsidRDefault="00FD1DB1" w:rsidP="00FD1DB1">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2C071542" w14:textId="77777777" w:rsidR="00FD1DB1" w:rsidRDefault="00FD1DB1" w:rsidP="00FD1DB1">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26C75407" w14:textId="77777777" w:rsidR="00FD1DB1" w:rsidRDefault="00FD1DB1" w:rsidP="00FD1DB1">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FD1DB1" w:rsidRPr="00B256E9" w14:paraId="7718960A" w14:textId="77777777" w:rsidTr="00FD1DB1">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44B1BBB7"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717B407B"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2065A932" w14:textId="77777777" w:rsidR="00FD1DB1" w:rsidRDefault="00FD1DB1">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FD1DB1" w14:paraId="2753A608"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0540E44A"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258298AA"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1E278AED"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6E095F6A"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789E63FC"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6F6EABC3"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03C0435E"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01E51371"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4C27828F"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22C87DBF"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008CD20C"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3562B8AD"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4F155666" w14:textId="77777777" w:rsidR="00FD1DB1" w:rsidRDefault="00FD1DB1" w:rsidP="00FD1DB1">
      <w:pPr>
        <w:rPr>
          <w:rFonts w:ascii="Times New Roman" w:hAnsi="Times New Roman"/>
          <w:color w:val="000000"/>
          <w:sz w:val="28"/>
          <w:szCs w:val="28"/>
          <w:lang w:val="uk-UA"/>
        </w:rPr>
      </w:pPr>
    </w:p>
    <w:p w14:paraId="50ED156C" w14:textId="77777777" w:rsidR="001C327E" w:rsidRPr="00FD1DB1" w:rsidRDefault="00B256E9">
      <w:pPr>
        <w:rPr>
          <w:lang w:val="uk-UA"/>
        </w:rPr>
      </w:pPr>
    </w:p>
    <w:sectPr w:rsidR="001C327E" w:rsidRPr="00FD1DB1" w:rsidSect="00FD1DB1">
      <w:pgSz w:w="11906" w:h="16838"/>
      <w:pgMar w:top="284"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130F0E"/>
    <w:rsid w:val="002E64B0"/>
    <w:rsid w:val="004628DC"/>
    <w:rsid w:val="00574039"/>
    <w:rsid w:val="005A22E5"/>
    <w:rsid w:val="0083218D"/>
    <w:rsid w:val="00847338"/>
    <w:rsid w:val="009749B4"/>
    <w:rsid w:val="00A63875"/>
    <w:rsid w:val="00B256E9"/>
    <w:rsid w:val="00C273B2"/>
    <w:rsid w:val="00FD1D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E0A6"/>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2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3459</Words>
  <Characters>1973</Characters>
  <Application>Microsoft Office Word</Application>
  <DocSecurity>0</DocSecurity>
  <Lines>16</Lines>
  <Paragraphs>10</Paragraphs>
  <ScaleCrop>false</ScaleCrop>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10</cp:revision>
  <cp:lastPrinted>2020-11-05T14:28:00Z</cp:lastPrinted>
  <dcterms:created xsi:type="dcterms:W3CDTF">2020-10-30T07:19:00Z</dcterms:created>
  <dcterms:modified xsi:type="dcterms:W3CDTF">2021-10-22T07:09:00Z</dcterms:modified>
</cp:coreProperties>
</file>