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3FEC9" w14:textId="77777777" w:rsidR="00426537" w:rsidRDefault="00426537" w:rsidP="00426537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E2447B" w14:textId="77777777" w:rsidR="00426537" w:rsidRDefault="00426537" w:rsidP="00426537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6869F15B" w14:textId="378C678E" w:rsidR="00426537" w:rsidRDefault="00426537" w:rsidP="00426537">
      <w:pPr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82CE3">
        <w:rPr>
          <w:rFonts w:ascii="Times New Roman" w:hAnsi="Times New Roman" w:cs="Times New Roman"/>
          <w:sz w:val="28"/>
          <w:szCs w:val="28"/>
          <w:lang w:val="ru-RU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березня 2021 року № </w:t>
      </w:r>
      <w:r w:rsidR="00C82CE3">
        <w:rPr>
          <w:rFonts w:ascii="Times New Roman" w:hAnsi="Times New Roman" w:cs="Times New Roman"/>
          <w:sz w:val="28"/>
          <w:szCs w:val="28"/>
          <w:lang w:val="uk-UA"/>
        </w:rPr>
        <w:t>155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22181FAA" w14:textId="3F7831F9" w:rsidR="00611C4C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>
        <w:rPr>
          <w:rFonts w:ascii="Times New Roman" w:hAnsi="Times New Roman" w:cs="Times New Roman"/>
          <w:b/>
          <w:sz w:val="28"/>
          <w:szCs w:val="28"/>
          <w:lang w:val="uk-UA"/>
        </w:rPr>
        <w:t>в особливо важливих справах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відділу організації досудового розслідування Управління організаційно-методичного забезпечення досудових розслідувань</w:t>
      </w:r>
      <w:r w:rsidR="00D93F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  <w:bookmarkStart w:id="0" w:name="_GoBack"/>
      <w:bookmarkEnd w:id="0"/>
    </w:p>
    <w:p w14:paraId="78015382" w14:textId="6281A15C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D93FD3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C62105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не менше 5 років в правоохоронних органах (після здобуття вищої освіти) на посадах </w:t>
            </w: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1535BB">
              <w:rPr>
                <w:rFonts w:ascii="Times New Roman" w:hAnsi="Times New Roman" w:cs="Times New Roman"/>
                <w:lang w:val="uk-UA"/>
              </w:rPr>
              <w:t xml:space="preserve"> слідчих підрозділах та/або на посадах пов’язаних з процесуальним керівництвом досудовим розслідуванням</w:t>
            </w:r>
            <w:r w:rsidRPr="006470C3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9EDB693" w14:textId="77777777" w:rsidR="00EB58AC" w:rsidRPr="006470C3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14:paraId="5DF96391" w14:textId="0F82059D" w:rsidR="005161D0" w:rsidRPr="009C0956" w:rsidRDefault="00EB58AC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 xml:space="preserve">або не менше 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у</w:t>
            </w:r>
            <w:r w:rsidRPr="006470C3">
              <w:rPr>
                <w:rFonts w:ascii="Times New Roman" w:hAnsi="Times New Roman" w:cs="Times New Roman"/>
                <w:lang w:val="uk-UA"/>
              </w:rPr>
              <w:t xml:space="preserve">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D93FD3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D93FD3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D93FD3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доступ до публічної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5FBAFED" w14:textId="77777777" w:rsidR="000C2888" w:rsidRPr="000C2888" w:rsidRDefault="00766EF7" w:rsidP="000C2888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3851D215" w14:textId="33990CE3" w:rsidR="000C2888" w:rsidRPr="000C2888" w:rsidRDefault="000C2888" w:rsidP="000C2888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D93FD3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FC33D3" w14:textId="77777777" w:rsidR="000C2888" w:rsidRPr="00243738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555CFA78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B01BF1C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D0D7621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4879AB7A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7EB438D7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62F581EB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7F861146" w14:textId="77777777" w:rsidR="000C2888" w:rsidRPr="000F76E2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512437EF" w14:textId="77777777" w:rsidR="000C2888" w:rsidRPr="000C2888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7582A835" w:rsidR="00497E69" w:rsidRPr="000C2888" w:rsidRDefault="000C2888" w:rsidP="000C2888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відкритість</w:t>
            </w:r>
          </w:p>
        </w:tc>
      </w:tr>
      <w:tr w:rsidR="00497E69" w:rsidRPr="00D93FD3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D93FD3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D93FD3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40FCD099" w14:textId="77777777" w:rsidR="00736421" w:rsidRPr="00E26EE3" w:rsidRDefault="00736421" w:rsidP="00426537">
      <w:pPr>
        <w:rPr>
          <w:rFonts w:ascii="Times New Roman" w:hAnsi="Times New Roman" w:cs="Times New Roman"/>
          <w:lang w:val="uk-UA"/>
        </w:rPr>
      </w:pPr>
    </w:p>
    <w:sectPr w:rsidR="00736421" w:rsidRPr="00E26EE3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D38D" w14:textId="77777777" w:rsidR="00054833" w:rsidRDefault="00054833" w:rsidP="009B031F">
      <w:r>
        <w:separator/>
      </w:r>
    </w:p>
  </w:endnote>
  <w:endnote w:type="continuationSeparator" w:id="0">
    <w:p w14:paraId="7E04F35D" w14:textId="77777777" w:rsidR="00054833" w:rsidRDefault="0005483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56805" w14:textId="77777777" w:rsidR="00054833" w:rsidRDefault="00054833" w:rsidP="009B031F">
      <w:r>
        <w:separator/>
      </w:r>
    </w:p>
  </w:footnote>
  <w:footnote w:type="continuationSeparator" w:id="0">
    <w:p w14:paraId="26EAC35A" w14:textId="77777777" w:rsidR="00054833" w:rsidRDefault="00054833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2888" w:rsidRPr="000C2888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D3D65"/>
    <w:multiLevelType w:val="hybridMultilevel"/>
    <w:tmpl w:val="69766DD2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6F767C4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226A3"/>
    <w:multiLevelType w:val="hybridMultilevel"/>
    <w:tmpl w:val="2A9C1A94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AEE94A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1"/>
  </w:num>
  <w:num w:numId="4">
    <w:abstractNumId w:val="21"/>
  </w:num>
  <w:num w:numId="5">
    <w:abstractNumId w:val="19"/>
  </w:num>
  <w:num w:numId="6">
    <w:abstractNumId w:val="2"/>
  </w:num>
  <w:num w:numId="7">
    <w:abstractNumId w:val="24"/>
  </w:num>
  <w:num w:numId="8">
    <w:abstractNumId w:val="10"/>
  </w:num>
  <w:num w:numId="9">
    <w:abstractNumId w:val="14"/>
  </w:num>
  <w:num w:numId="10">
    <w:abstractNumId w:val="22"/>
  </w:num>
  <w:num w:numId="11">
    <w:abstractNumId w:val="17"/>
  </w:num>
  <w:num w:numId="12">
    <w:abstractNumId w:val="16"/>
  </w:num>
  <w:num w:numId="13">
    <w:abstractNumId w:val="12"/>
  </w:num>
  <w:num w:numId="14">
    <w:abstractNumId w:val="11"/>
  </w:num>
  <w:num w:numId="15">
    <w:abstractNumId w:val="5"/>
  </w:num>
  <w:num w:numId="16">
    <w:abstractNumId w:val="23"/>
  </w:num>
  <w:num w:numId="17">
    <w:abstractNumId w:val="3"/>
  </w:num>
  <w:num w:numId="18">
    <w:abstractNumId w:val="8"/>
  </w:num>
  <w:num w:numId="19">
    <w:abstractNumId w:val="15"/>
  </w:num>
  <w:num w:numId="20">
    <w:abstractNumId w:val="7"/>
  </w:num>
  <w:num w:numId="21">
    <w:abstractNumId w:val="0"/>
  </w:num>
  <w:num w:numId="22">
    <w:abstractNumId w:val="18"/>
  </w:num>
  <w:num w:numId="23">
    <w:abstractNumId w:val="6"/>
  </w:num>
  <w:num w:numId="24">
    <w:abstractNumId w:val="9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54833"/>
    <w:rsid w:val="00065ACB"/>
    <w:rsid w:val="00066673"/>
    <w:rsid w:val="000A108E"/>
    <w:rsid w:val="000A4513"/>
    <w:rsid w:val="000C2888"/>
    <w:rsid w:val="000F65B8"/>
    <w:rsid w:val="001011F4"/>
    <w:rsid w:val="001477BB"/>
    <w:rsid w:val="00182E42"/>
    <w:rsid w:val="00190A92"/>
    <w:rsid w:val="001B03C6"/>
    <w:rsid w:val="001C1A9C"/>
    <w:rsid w:val="001E25D7"/>
    <w:rsid w:val="001F50BB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30403C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412322"/>
    <w:rsid w:val="00421706"/>
    <w:rsid w:val="0042435E"/>
    <w:rsid w:val="00426537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11C4C"/>
    <w:rsid w:val="00632118"/>
    <w:rsid w:val="006343EE"/>
    <w:rsid w:val="00635704"/>
    <w:rsid w:val="006500EE"/>
    <w:rsid w:val="006560D4"/>
    <w:rsid w:val="00661502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A052DE"/>
    <w:rsid w:val="00A056CB"/>
    <w:rsid w:val="00A2619E"/>
    <w:rsid w:val="00A2775A"/>
    <w:rsid w:val="00A40F1A"/>
    <w:rsid w:val="00A60973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688F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82CE3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93FD3"/>
    <w:rsid w:val="00DC02BD"/>
    <w:rsid w:val="00DF1E88"/>
    <w:rsid w:val="00DF758D"/>
    <w:rsid w:val="00E04832"/>
    <w:rsid w:val="00E14727"/>
    <w:rsid w:val="00E26EE3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  <w:style w:type="paragraph" w:customStyle="1" w:styleId="ad">
    <w:name w:val="Нормальний текст"/>
    <w:basedOn w:val="a"/>
    <w:rsid w:val="00E26EE3"/>
    <w:pPr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Ірина Анатоліївна Юрчук</cp:lastModifiedBy>
  <cp:revision>17</cp:revision>
  <cp:lastPrinted>2021-03-15T11:33:00Z</cp:lastPrinted>
  <dcterms:created xsi:type="dcterms:W3CDTF">2020-09-17T09:03:00Z</dcterms:created>
  <dcterms:modified xsi:type="dcterms:W3CDTF">2021-03-18T07:42:00Z</dcterms:modified>
</cp:coreProperties>
</file>